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20" w:rsidRPr="00EA2668" w:rsidRDefault="00EA2668" w:rsidP="00EA2668">
      <w:pPr>
        <w:jc w:val="center"/>
        <w:rPr>
          <w:rFonts w:asciiTheme="minorHAnsi" w:hAnsiTheme="minorHAnsi" w:cstheme="minorHAnsi"/>
          <w:b/>
        </w:rPr>
      </w:pPr>
      <w:bookmarkStart w:id="0" w:name="_GoBack"/>
      <w:bookmarkEnd w:id="0"/>
      <w:r w:rsidRPr="00EA2668">
        <w:rPr>
          <w:rFonts w:ascii="Calibri" w:hAnsi="Calibri" w:cs="Calibri"/>
          <w:b/>
          <w:bCs/>
        </w:rPr>
        <w:t>Δυνατότητες που παρέχονται μέσω της Νομοθεσίας και του ΑΠΘ για την επιμόρφωση και την ανάπτυξη του ΔΕΠ</w:t>
      </w:r>
    </w:p>
    <w:p w:rsidR="00EA2668" w:rsidRDefault="00EA2668" w:rsidP="007F5CAB">
      <w:pPr>
        <w:jc w:val="both"/>
        <w:rPr>
          <w:rFonts w:asciiTheme="minorHAnsi" w:hAnsiTheme="minorHAnsi" w:cstheme="minorHAnsi"/>
          <w:b/>
        </w:rPr>
      </w:pPr>
    </w:p>
    <w:p w:rsidR="00596820" w:rsidRPr="00C63F17" w:rsidRDefault="00596820" w:rsidP="007F5CAB">
      <w:pPr>
        <w:jc w:val="both"/>
        <w:rPr>
          <w:rFonts w:asciiTheme="minorHAnsi" w:hAnsiTheme="minorHAnsi" w:cstheme="minorHAnsi"/>
          <w:b/>
        </w:rPr>
      </w:pPr>
      <w:r w:rsidRPr="00C63F17">
        <w:rPr>
          <w:rFonts w:asciiTheme="minorHAnsi" w:hAnsiTheme="minorHAnsi" w:cstheme="minorHAnsi"/>
          <w:b/>
        </w:rPr>
        <w:t>Πηγή: Τμήμα ΔΕΠ-ΑΠΘ</w:t>
      </w:r>
    </w:p>
    <w:p w:rsidR="00553430" w:rsidRPr="00C63F17" w:rsidRDefault="008B7B16" w:rsidP="007F5CAB">
      <w:pPr>
        <w:jc w:val="both"/>
        <w:rPr>
          <w:rFonts w:asciiTheme="minorHAnsi" w:hAnsiTheme="minorHAnsi" w:cstheme="minorHAnsi"/>
        </w:rPr>
      </w:pPr>
      <w:r w:rsidRPr="00C63F17">
        <w:rPr>
          <w:rFonts w:asciiTheme="minorHAnsi" w:hAnsiTheme="minorHAnsi" w:cstheme="minorHAnsi"/>
        </w:rPr>
        <w:t>Ό</w:t>
      </w:r>
      <w:r w:rsidR="007F5CAB" w:rsidRPr="00C63F17">
        <w:rPr>
          <w:rFonts w:asciiTheme="minorHAnsi" w:hAnsiTheme="minorHAnsi" w:cstheme="minorHAnsi"/>
        </w:rPr>
        <w:t xml:space="preserve">λα τα νέα μέλη εκπαιδευτικού προσωπικού διαθέτουν </w:t>
      </w:r>
      <w:r w:rsidR="00733F90" w:rsidRPr="00C63F17">
        <w:rPr>
          <w:rFonts w:asciiTheme="minorHAnsi" w:hAnsiTheme="minorHAnsi" w:cstheme="minorHAnsi"/>
        </w:rPr>
        <w:t>κατ’ ελάχιστον</w:t>
      </w:r>
      <w:r w:rsidR="007F5CAB" w:rsidRPr="00C63F17">
        <w:rPr>
          <w:rFonts w:asciiTheme="minorHAnsi" w:hAnsiTheme="minorHAnsi" w:cstheme="minorHAnsi"/>
        </w:rPr>
        <w:t xml:space="preserve"> τις απαραίτητες</w:t>
      </w:r>
      <w:r w:rsidR="00973382" w:rsidRPr="00C63F17">
        <w:rPr>
          <w:rFonts w:asciiTheme="minorHAnsi" w:hAnsiTheme="minorHAnsi" w:cstheme="minorHAnsi"/>
        </w:rPr>
        <w:t xml:space="preserve"> </w:t>
      </w:r>
      <w:r w:rsidR="007F5CAB" w:rsidRPr="00C63F17">
        <w:rPr>
          <w:rFonts w:asciiTheme="minorHAnsi" w:hAnsiTheme="minorHAnsi" w:cstheme="minorHAnsi"/>
        </w:rPr>
        <w:t xml:space="preserve"> διδακτικές ικανότητες</w:t>
      </w:r>
      <w:r w:rsidR="00733F90" w:rsidRPr="00C63F17">
        <w:rPr>
          <w:rFonts w:asciiTheme="minorHAnsi" w:hAnsiTheme="minorHAnsi" w:cstheme="minorHAnsi"/>
        </w:rPr>
        <w:t>. Η πλήρωση της προϋπόθεσης αυτής</w:t>
      </w:r>
      <w:r w:rsidR="007F5CAB" w:rsidRPr="00C63F17">
        <w:rPr>
          <w:rFonts w:asciiTheme="minorHAnsi" w:hAnsiTheme="minorHAnsi" w:cstheme="minorHAnsi"/>
        </w:rPr>
        <w:t xml:space="preserve"> διασφαλίζεται από διαδικασίες που προβλέπονται από τη νομοθεσία για την προκήρυξη και την πρόσληψη</w:t>
      </w:r>
      <w:r w:rsidR="00553430" w:rsidRPr="00C63F17">
        <w:rPr>
          <w:rFonts w:asciiTheme="minorHAnsi" w:hAnsiTheme="minorHAnsi" w:cstheme="minorHAnsi"/>
        </w:rPr>
        <w:t>/διορισμό</w:t>
      </w:r>
      <w:r w:rsidR="007F5CAB" w:rsidRPr="00C63F17">
        <w:rPr>
          <w:rFonts w:asciiTheme="minorHAnsi" w:hAnsiTheme="minorHAnsi" w:cstheme="minorHAnsi"/>
        </w:rPr>
        <w:t xml:space="preserve"> </w:t>
      </w:r>
      <w:r w:rsidR="00553430" w:rsidRPr="00C63F17">
        <w:rPr>
          <w:rFonts w:asciiTheme="minorHAnsi" w:hAnsiTheme="minorHAnsi" w:cstheme="minorHAnsi"/>
        </w:rPr>
        <w:t>τους.</w:t>
      </w:r>
    </w:p>
    <w:p w:rsidR="00E15502" w:rsidRPr="00C63F17" w:rsidRDefault="005B1096" w:rsidP="007F5CAB">
      <w:pPr>
        <w:jc w:val="both"/>
        <w:rPr>
          <w:rFonts w:asciiTheme="minorHAnsi" w:hAnsiTheme="minorHAnsi" w:cstheme="minorHAnsi"/>
        </w:rPr>
      </w:pPr>
      <w:r w:rsidRPr="00C63F17">
        <w:rPr>
          <w:rFonts w:asciiTheme="minorHAnsi" w:hAnsiTheme="minorHAnsi" w:cstheme="minorHAnsi"/>
        </w:rPr>
        <w:t>Επισημαίνεται ότι στις 21/7/2022 δημοσιεύθηκε ο νέος νόμος για την παιδεία [νόμος 4957/2022 (Α΄141)]. Με τον νέο νόμο καταργήθηκε ο νόμος 4009/2011 (Α΄</w:t>
      </w:r>
      <w:r w:rsidR="00624CC8" w:rsidRPr="00C63F17">
        <w:rPr>
          <w:rFonts w:asciiTheme="minorHAnsi" w:hAnsiTheme="minorHAnsi" w:cstheme="minorHAnsi"/>
        </w:rPr>
        <w:t>195</w:t>
      </w:r>
      <w:r w:rsidRPr="00C63F17">
        <w:rPr>
          <w:rFonts w:asciiTheme="minorHAnsi" w:hAnsiTheme="minorHAnsi" w:cstheme="minorHAnsi"/>
        </w:rPr>
        <w:t>)</w:t>
      </w:r>
      <w:r w:rsidR="00DF424A" w:rsidRPr="00C63F17">
        <w:rPr>
          <w:rFonts w:asciiTheme="minorHAnsi" w:hAnsiTheme="minorHAnsi" w:cstheme="minorHAnsi"/>
        </w:rPr>
        <w:t xml:space="preserve"> και</w:t>
      </w:r>
      <w:r w:rsidRPr="00C63F17">
        <w:rPr>
          <w:rFonts w:asciiTheme="minorHAnsi" w:hAnsiTheme="minorHAnsi" w:cstheme="minorHAnsi"/>
        </w:rPr>
        <w:t xml:space="preserve"> θεσπίστηκαν νέες διαδικασίες και προϋποθέσεις για την εκλογή σε νέα (κενή) θέση ΔΕΠ.  </w:t>
      </w:r>
    </w:p>
    <w:p w:rsidR="00E15502" w:rsidRPr="00C63F17" w:rsidRDefault="005B1096" w:rsidP="007F5CAB">
      <w:pPr>
        <w:jc w:val="both"/>
        <w:rPr>
          <w:rFonts w:asciiTheme="minorHAnsi" w:hAnsiTheme="minorHAnsi" w:cstheme="minorHAnsi"/>
        </w:rPr>
      </w:pPr>
      <w:r w:rsidRPr="00C63F17">
        <w:rPr>
          <w:rFonts w:asciiTheme="minorHAnsi" w:hAnsiTheme="minorHAnsi" w:cstheme="minorHAnsi"/>
        </w:rPr>
        <w:t>Σ</w:t>
      </w:r>
      <w:r w:rsidR="00553430" w:rsidRPr="00C63F17">
        <w:rPr>
          <w:rFonts w:asciiTheme="minorHAnsi" w:hAnsiTheme="minorHAnsi" w:cstheme="minorHAnsi"/>
        </w:rPr>
        <w:t>ύμφωνα με την παράγραφο 3  του άρθρου 463 «Μεταβατικές διατάξεις Κεφαλαίου ΙΖ΄» του</w:t>
      </w:r>
      <w:r w:rsidRPr="00C63F17">
        <w:rPr>
          <w:rFonts w:asciiTheme="minorHAnsi" w:hAnsiTheme="minorHAnsi" w:cstheme="minorHAnsi"/>
        </w:rPr>
        <w:t xml:space="preserve"> νέου</w:t>
      </w:r>
      <w:r w:rsidR="00553430" w:rsidRPr="00C63F17">
        <w:rPr>
          <w:rFonts w:asciiTheme="minorHAnsi" w:hAnsiTheme="minorHAnsi" w:cstheme="minorHAnsi"/>
        </w:rPr>
        <w:t xml:space="preserve"> νόμου, </w:t>
      </w:r>
      <w:r w:rsidR="00462226" w:rsidRPr="00C63F17">
        <w:rPr>
          <w:rFonts w:asciiTheme="minorHAnsi" w:hAnsiTheme="minorHAnsi" w:cstheme="minorHAnsi"/>
        </w:rPr>
        <w:t xml:space="preserve">νέες </w:t>
      </w:r>
      <w:r w:rsidR="00FF2500" w:rsidRPr="00C63F17">
        <w:rPr>
          <w:rFonts w:asciiTheme="minorHAnsi" w:hAnsiTheme="minorHAnsi" w:cstheme="minorHAnsi"/>
        </w:rPr>
        <w:t>θέσεις</w:t>
      </w:r>
      <w:r w:rsidR="00553430" w:rsidRPr="00C63F17">
        <w:rPr>
          <w:rFonts w:asciiTheme="minorHAnsi" w:hAnsiTheme="minorHAnsi" w:cstheme="minorHAnsi"/>
        </w:rPr>
        <w:t xml:space="preserve"> μελών Διδακτικού Ερευνητικού Προσωπικού</w:t>
      </w:r>
      <w:r w:rsidR="00FF2500" w:rsidRPr="00C63F17">
        <w:rPr>
          <w:rFonts w:asciiTheme="minorHAnsi" w:hAnsiTheme="minorHAnsi" w:cstheme="minorHAnsi"/>
        </w:rPr>
        <w:t xml:space="preserve"> (εκπαιδευτικού προσωπικού) που θα προκηρυχθούν έως και την 30</w:t>
      </w:r>
      <w:r w:rsidR="00FF2500" w:rsidRPr="00C63F17">
        <w:rPr>
          <w:rFonts w:asciiTheme="minorHAnsi" w:hAnsiTheme="minorHAnsi" w:cstheme="minorHAnsi"/>
          <w:vertAlign w:val="superscript"/>
        </w:rPr>
        <w:t>η</w:t>
      </w:r>
      <w:r w:rsidR="00FF2500" w:rsidRPr="00C63F17">
        <w:rPr>
          <w:rFonts w:asciiTheme="minorHAnsi" w:hAnsiTheme="minorHAnsi" w:cstheme="minorHAnsi"/>
        </w:rPr>
        <w:t>/04/202</w:t>
      </w:r>
      <w:r w:rsidR="00DF424A" w:rsidRPr="00C63F17">
        <w:rPr>
          <w:rFonts w:asciiTheme="minorHAnsi" w:hAnsiTheme="minorHAnsi" w:cstheme="minorHAnsi"/>
        </w:rPr>
        <w:t>3</w:t>
      </w:r>
      <w:r w:rsidR="00462226" w:rsidRPr="00C63F17">
        <w:rPr>
          <w:rFonts w:asciiTheme="minorHAnsi" w:hAnsiTheme="minorHAnsi" w:cstheme="minorHAnsi"/>
        </w:rPr>
        <w:t xml:space="preserve">, θα </w:t>
      </w:r>
      <w:r w:rsidR="00E15502" w:rsidRPr="00C63F17">
        <w:rPr>
          <w:rFonts w:asciiTheme="minorHAnsi" w:hAnsiTheme="minorHAnsi" w:cstheme="minorHAnsi"/>
        </w:rPr>
        <w:t>ολοκληρ</w:t>
      </w:r>
      <w:r w:rsidR="00462226" w:rsidRPr="00C63F17">
        <w:rPr>
          <w:rFonts w:asciiTheme="minorHAnsi" w:hAnsiTheme="minorHAnsi" w:cstheme="minorHAnsi"/>
        </w:rPr>
        <w:t>ωθούν</w:t>
      </w:r>
      <w:r w:rsidR="00E15502" w:rsidRPr="00C63F17">
        <w:rPr>
          <w:rFonts w:asciiTheme="minorHAnsi" w:hAnsiTheme="minorHAnsi" w:cstheme="minorHAnsi"/>
        </w:rPr>
        <w:t xml:space="preserve"> σύμφωνα με τις διατάξεις του νόμου 4009/2011 όπως ίσχυε κατά την έναρξη ισχύος του νέου νόμου. </w:t>
      </w:r>
      <w:r w:rsidR="00DF424A" w:rsidRPr="00C63F17">
        <w:rPr>
          <w:rFonts w:asciiTheme="minorHAnsi" w:hAnsiTheme="minorHAnsi" w:cstheme="minorHAnsi"/>
        </w:rPr>
        <w:t>Από την 1</w:t>
      </w:r>
      <w:r w:rsidR="00DF424A" w:rsidRPr="00C63F17">
        <w:rPr>
          <w:rFonts w:asciiTheme="minorHAnsi" w:hAnsiTheme="minorHAnsi" w:cstheme="minorHAnsi"/>
          <w:vertAlign w:val="superscript"/>
        </w:rPr>
        <w:t>η</w:t>
      </w:r>
      <w:r w:rsidR="00DF424A" w:rsidRPr="00C63F17">
        <w:rPr>
          <w:rFonts w:asciiTheme="minorHAnsi" w:hAnsiTheme="minorHAnsi" w:cstheme="minorHAnsi"/>
        </w:rPr>
        <w:t>/05/2023, νέες θέσεις μελών Διδακτικού Ερευνητικού Προσωπικού θα προκηρύσσονται σύμφωνα με τις διατάξεις του νέου νόμου.</w:t>
      </w:r>
    </w:p>
    <w:p w:rsidR="00DF424A" w:rsidRPr="00C63F17" w:rsidRDefault="00DF424A" w:rsidP="007F5CAB">
      <w:pPr>
        <w:jc w:val="both"/>
        <w:rPr>
          <w:rFonts w:asciiTheme="minorHAnsi" w:hAnsiTheme="minorHAnsi" w:cstheme="minorHAnsi"/>
        </w:rPr>
      </w:pPr>
      <w:r w:rsidRPr="00C63F17">
        <w:rPr>
          <w:rFonts w:asciiTheme="minorHAnsi" w:hAnsiTheme="minorHAnsi" w:cstheme="minorHAnsi"/>
        </w:rPr>
        <w:t>Σύμφωνα με τα παραπάνω:</w:t>
      </w:r>
    </w:p>
    <w:p w:rsidR="007F5CAB" w:rsidRPr="00C63F17" w:rsidRDefault="00DF424A" w:rsidP="007F5CAB">
      <w:pPr>
        <w:jc w:val="both"/>
        <w:rPr>
          <w:rFonts w:asciiTheme="minorHAnsi" w:hAnsiTheme="minorHAnsi" w:cstheme="minorHAnsi"/>
        </w:rPr>
      </w:pPr>
      <w:r w:rsidRPr="00C63F17">
        <w:rPr>
          <w:rFonts w:asciiTheme="minorHAnsi" w:hAnsiTheme="minorHAnsi" w:cstheme="minorHAnsi"/>
        </w:rPr>
        <w:t>Α) Για νέες θέσεις που θα προκηρυχθούν μέχρι και 30/04/2023</w:t>
      </w:r>
      <w:r w:rsidR="00B37084" w:rsidRPr="00C63F17">
        <w:rPr>
          <w:rFonts w:asciiTheme="minorHAnsi" w:hAnsiTheme="minorHAnsi" w:cstheme="minorHAnsi"/>
        </w:rPr>
        <w:t>, σ</w:t>
      </w:r>
      <w:r w:rsidR="007F5CAB" w:rsidRPr="00C63F17">
        <w:rPr>
          <w:rFonts w:asciiTheme="minorHAnsi" w:hAnsiTheme="minorHAnsi" w:cstheme="minorHAnsi"/>
        </w:rPr>
        <w:t>ύμφωνα με τα άρθρα 19 και 77 του ν. 4009/</w:t>
      </w:r>
      <w:r w:rsidR="00B37084" w:rsidRPr="00C63F17">
        <w:rPr>
          <w:rFonts w:asciiTheme="minorHAnsi" w:hAnsiTheme="minorHAnsi" w:cstheme="minorHAnsi"/>
        </w:rPr>
        <w:t>20</w:t>
      </w:r>
      <w:r w:rsidR="007F5CAB" w:rsidRPr="00C63F17">
        <w:rPr>
          <w:rFonts w:asciiTheme="minorHAnsi" w:hAnsiTheme="minorHAnsi" w:cstheme="minorHAnsi"/>
        </w:rPr>
        <w:t xml:space="preserve">11 </w:t>
      </w:r>
      <w:r w:rsidRPr="00C63F17">
        <w:rPr>
          <w:rFonts w:asciiTheme="minorHAnsi" w:hAnsiTheme="minorHAnsi" w:cstheme="minorHAnsi"/>
        </w:rPr>
        <w:t>όπως ίσχυαν κατά τη δημοσίευση του νέου νόμου</w:t>
      </w:r>
      <w:r w:rsidR="007F5CAB" w:rsidRPr="00C63F17">
        <w:rPr>
          <w:rFonts w:asciiTheme="minorHAnsi" w:hAnsiTheme="minorHAnsi" w:cstheme="minorHAnsi"/>
        </w:rPr>
        <w:t>, για την κατάληψη θέσης Διδακτικού Ερευνητικού Προσωπικού οποιασδήποτε βαθμίδας πρέπει να πληρούνται από τον/τους υποψήφιους συγκεκριμένα κριτήρια (μεταξύ αυτών είναι και η διδασκαλία), όπως αναφέρονται στο άρθρο 9 του ν. 4521/2018, όπως τροποποίησε την περ. β της παρ. 1 του άρθρου 19 του ν. 4009/2011 .</w:t>
      </w:r>
    </w:p>
    <w:p w:rsidR="00DF424A" w:rsidRPr="00C63F17" w:rsidRDefault="00DF424A" w:rsidP="007F5CAB">
      <w:pPr>
        <w:jc w:val="both"/>
        <w:rPr>
          <w:rFonts w:asciiTheme="minorHAnsi" w:hAnsiTheme="minorHAnsi" w:cstheme="minorHAnsi"/>
        </w:rPr>
      </w:pPr>
      <w:r w:rsidRPr="00C63F17">
        <w:rPr>
          <w:rFonts w:asciiTheme="minorHAnsi" w:hAnsiTheme="minorHAnsi" w:cstheme="minorHAnsi"/>
        </w:rPr>
        <w:t>Β) Για νέες θέσεις που θα προκηρυχθούν από 1</w:t>
      </w:r>
      <w:r w:rsidRPr="00C63F17">
        <w:rPr>
          <w:rFonts w:asciiTheme="minorHAnsi" w:hAnsiTheme="minorHAnsi" w:cstheme="minorHAnsi"/>
          <w:vertAlign w:val="superscript"/>
        </w:rPr>
        <w:t>η</w:t>
      </w:r>
      <w:r w:rsidRPr="00C63F17">
        <w:rPr>
          <w:rFonts w:asciiTheme="minorHAnsi" w:hAnsiTheme="minorHAnsi" w:cstheme="minorHAnsi"/>
        </w:rPr>
        <w:t>/05/2023 και εφεξής</w:t>
      </w:r>
      <w:r w:rsidR="005C7E62" w:rsidRPr="00C63F17">
        <w:rPr>
          <w:rFonts w:asciiTheme="minorHAnsi" w:hAnsiTheme="minorHAnsi" w:cstheme="minorHAnsi"/>
        </w:rPr>
        <w:t>, σ</w:t>
      </w:r>
      <w:r w:rsidR="005C458E" w:rsidRPr="00C63F17">
        <w:rPr>
          <w:rFonts w:asciiTheme="minorHAnsi" w:hAnsiTheme="minorHAnsi" w:cstheme="minorHAnsi"/>
        </w:rPr>
        <w:t>ύμφωνα με τα άρθρα 138, 139 και 141</w:t>
      </w:r>
      <w:r w:rsidR="00B37084" w:rsidRPr="00C63F17">
        <w:rPr>
          <w:rFonts w:asciiTheme="minorHAnsi" w:hAnsiTheme="minorHAnsi" w:cstheme="minorHAnsi"/>
        </w:rPr>
        <w:t xml:space="preserve"> του ν. 4957/2022, για την κατάληψη θέσης Διδακτικού Ερευνητικού Προσωπικού οποιασδήποτε βαθμίδας πρέπει να πληρούνται από</w:t>
      </w:r>
      <w:r w:rsidR="005C7E62" w:rsidRPr="00C63F17">
        <w:rPr>
          <w:rFonts w:asciiTheme="minorHAnsi" w:hAnsiTheme="minorHAnsi" w:cstheme="minorHAnsi"/>
        </w:rPr>
        <w:t xml:space="preserve"> τον/τους υποψήφιους συγκεκριμένα κριτήρια (μεταξύ αυτών είναι και η διδασκαλία), όπως αναφέρονται στο άρθρο 143 του ν. 4957/2022.</w:t>
      </w:r>
    </w:p>
    <w:p w:rsidR="005C7E62" w:rsidRPr="00C63F17" w:rsidRDefault="005C7E62" w:rsidP="007F5CAB">
      <w:pPr>
        <w:jc w:val="both"/>
        <w:rPr>
          <w:rFonts w:asciiTheme="minorHAnsi" w:hAnsiTheme="minorHAnsi" w:cstheme="minorHAnsi"/>
        </w:rPr>
      </w:pPr>
      <w:r w:rsidRPr="00C63F17">
        <w:rPr>
          <w:rFonts w:asciiTheme="minorHAnsi" w:hAnsiTheme="minorHAnsi" w:cstheme="minorHAnsi"/>
        </w:rPr>
        <w:t>Στην παράγραφο 3 του σχετικού άρθρου, ορίζεται ότι η κρίση για εκλογή νέου μέλους ΔΕΠ βασίζεται στο συνολικό διδακτικό και ερευνητικό έργο του κρινόμενου, και συμπεριλαμβάνει μεταξύ άλλων και την αξιολόγηση της διδακτικής του ικανότητας.</w:t>
      </w:r>
      <w:r w:rsidR="00C808BF" w:rsidRPr="00C63F17">
        <w:rPr>
          <w:rFonts w:asciiTheme="minorHAnsi" w:hAnsiTheme="minorHAnsi" w:cstheme="minorHAnsi"/>
        </w:rPr>
        <w:t xml:space="preserve"> </w:t>
      </w:r>
      <w:r w:rsidR="00C808BF" w:rsidRPr="00C63F17">
        <w:rPr>
          <w:rFonts w:asciiTheme="minorHAnsi" w:hAnsiTheme="minorHAnsi" w:cstheme="minorHAnsi"/>
          <w:iCs/>
        </w:rPr>
        <w:t xml:space="preserve">Οι υποψήφιοι που «πληρούν τα προσόντα που απαιτούνται από τον νόμο για εκλογή σε θέση Δ.Ε.Π., σύμφωνα με το άρθρο 143, καλούνται από τον Πρόεδρο του Τμήματος να δώσουν επιστημονική διάλεξη σε ένα (1) θέμα που σχετίζεται με το γνωστικό αντικείμενο της </w:t>
      </w:r>
      <w:proofErr w:type="spellStart"/>
      <w:r w:rsidR="00C808BF" w:rsidRPr="00C63F17">
        <w:rPr>
          <w:rFonts w:asciiTheme="minorHAnsi" w:hAnsiTheme="minorHAnsi" w:cstheme="minorHAnsi"/>
          <w:iCs/>
        </w:rPr>
        <w:t>προκηρυσσόμενης</w:t>
      </w:r>
      <w:proofErr w:type="spellEnd"/>
      <w:r w:rsidR="00C808BF" w:rsidRPr="00C63F17">
        <w:rPr>
          <w:rFonts w:asciiTheme="minorHAnsi" w:hAnsiTheme="minorHAnsi" w:cstheme="minorHAnsi"/>
          <w:iCs/>
        </w:rPr>
        <w:t xml:space="preserve"> θέσης ενώπιον των μελών του Εκλεκτορικού Σώματος και της ακαδημαϊκής κοινότητας, συμπεριλαμβανομένων των ενδιαφερόμενων φοιτητών»</w:t>
      </w:r>
      <w:r w:rsidR="00C808BF" w:rsidRPr="00C63F17">
        <w:rPr>
          <w:rFonts w:asciiTheme="minorHAnsi" w:hAnsiTheme="minorHAnsi" w:cstheme="minorHAnsi"/>
        </w:rPr>
        <w:t xml:space="preserve"> (άρθρο 147 παρ. 7)</w:t>
      </w:r>
      <w:r w:rsidRPr="00C63F17">
        <w:rPr>
          <w:rFonts w:asciiTheme="minorHAnsi" w:hAnsiTheme="minorHAnsi" w:cstheme="minorHAnsi"/>
        </w:rPr>
        <w:t xml:space="preserve"> </w:t>
      </w:r>
    </w:p>
    <w:p w:rsidR="005C7E62" w:rsidRPr="00C63F17" w:rsidRDefault="00DD021F" w:rsidP="007F5CAB">
      <w:pPr>
        <w:jc w:val="both"/>
        <w:rPr>
          <w:rFonts w:asciiTheme="minorHAnsi" w:hAnsiTheme="minorHAnsi" w:cstheme="minorHAnsi"/>
        </w:rPr>
      </w:pPr>
      <w:r w:rsidRPr="00C63F17">
        <w:rPr>
          <w:rFonts w:asciiTheme="minorHAnsi" w:hAnsiTheme="minorHAnsi" w:cstheme="minorHAnsi"/>
        </w:rPr>
        <w:t xml:space="preserve"> </w:t>
      </w:r>
    </w:p>
    <w:p w:rsidR="007F5CAB" w:rsidRPr="00C63F17" w:rsidRDefault="007F5CAB" w:rsidP="007F5CAB">
      <w:pPr>
        <w:jc w:val="both"/>
        <w:rPr>
          <w:rFonts w:asciiTheme="minorHAnsi" w:hAnsiTheme="minorHAnsi" w:cstheme="minorHAnsi"/>
        </w:rPr>
      </w:pPr>
      <w:r w:rsidRPr="00C63F17">
        <w:rPr>
          <w:rFonts w:asciiTheme="minorHAnsi" w:hAnsiTheme="minorHAnsi" w:cstheme="minorHAnsi"/>
        </w:rPr>
        <w:t xml:space="preserve">Αναφορικά με την </w:t>
      </w:r>
      <w:r w:rsidRPr="00C63F17">
        <w:rPr>
          <w:rFonts w:asciiTheme="minorHAnsi" w:hAnsiTheme="minorHAnsi" w:cstheme="minorHAnsi"/>
          <w:u w:val="single"/>
        </w:rPr>
        <w:t>υποστήριξη</w:t>
      </w:r>
      <w:r w:rsidRPr="00C63F17">
        <w:rPr>
          <w:rFonts w:asciiTheme="minorHAnsi" w:hAnsiTheme="minorHAnsi" w:cstheme="minorHAnsi"/>
        </w:rPr>
        <w:t xml:space="preserve"> νέου διδακτικού προσωπικού</w:t>
      </w:r>
      <w:r w:rsidR="0047514A" w:rsidRPr="00C63F17">
        <w:rPr>
          <w:rFonts w:asciiTheme="minorHAnsi" w:hAnsiTheme="minorHAnsi" w:cstheme="minorHAnsi"/>
        </w:rPr>
        <w:t xml:space="preserve"> </w:t>
      </w:r>
      <w:r w:rsidR="00CA342C" w:rsidRPr="00C63F17">
        <w:rPr>
          <w:rFonts w:asciiTheme="minorHAnsi" w:hAnsiTheme="minorHAnsi" w:cstheme="minorHAnsi"/>
        </w:rPr>
        <w:t xml:space="preserve">έχει συσταθεί </w:t>
      </w:r>
      <w:r w:rsidR="0047514A" w:rsidRPr="00C63F17">
        <w:rPr>
          <w:rFonts w:asciiTheme="minorHAnsi" w:hAnsiTheme="minorHAnsi" w:cstheme="minorHAnsi"/>
        </w:rPr>
        <w:t>σύμφω</w:t>
      </w:r>
      <w:r w:rsidR="00CA342C" w:rsidRPr="00C63F17">
        <w:rPr>
          <w:rFonts w:asciiTheme="minorHAnsi" w:hAnsiTheme="minorHAnsi" w:cstheme="minorHAnsi"/>
        </w:rPr>
        <w:t>να με την προϊσχύουσα νομοθεσία</w:t>
      </w:r>
      <w:r w:rsidRPr="00C63F17">
        <w:rPr>
          <w:rFonts w:asciiTheme="minorHAnsi" w:hAnsiTheme="minorHAnsi" w:cstheme="minorHAnsi"/>
        </w:rPr>
        <w:t xml:space="preserve"> το Γραφείο Υποστήριξης Διδασκαλίας, ενώ ορισμένα Τμήματα του ΑΠΘ, όπως της Ιατρικής, πραγματοποιούν τα τελευταία χρόνια εξάμηνη εκπαίδευση εκπαιδευτών σε εθελούσια βάση.</w:t>
      </w:r>
    </w:p>
    <w:p w:rsidR="00DD021F" w:rsidRPr="00C63F17" w:rsidRDefault="00DD021F" w:rsidP="007F5CAB">
      <w:pPr>
        <w:jc w:val="both"/>
        <w:rPr>
          <w:rFonts w:asciiTheme="minorHAnsi" w:hAnsiTheme="minorHAnsi" w:cstheme="minorHAnsi"/>
        </w:rPr>
      </w:pPr>
      <w:r w:rsidRPr="00C63F17">
        <w:rPr>
          <w:rFonts w:asciiTheme="minorHAnsi" w:hAnsiTheme="minorHAnsi" w:cstheme="minorHAnsi"/>
        </w:rPr>
        <w:t xml:space="preserve">Με τον νέο νόμο (άρθρο 129) σε κάθε ΑΕΙ συνιστάται Κέντρο υποστήριξης διδασκαλίας και μάθησης, που έχει ως αποστολή «την παροχή υπηρεσιών υποστήριξης, ενδυνάμωσης και συνεχούς βελτίωσης των διαδικασιών διδασκαλίας και μάθησης, σύμφωνα με τις σύγχρονες </w:t>
      </w:r>
      <w:r w:rsidRPr="00C63F17">
        <w:rPr>
          <w:rFonts w:asciiTheme="minorHAnsi" w:hAnsiTheme="minorHAnsi" w:cstheme="minorHAnsi"/>
        </w:rPr>
        <w:lastRenderedPageBreak/>
        <w:t xml:space="preserve">τάσεις της παιδαγωγικής, καθώς και την αξιοποίηση των νέων τεχνολογιών στη διδασκαλία για την ανάπτυξη της εξ αποστάσεως εκπαίδευσης». </w:t>
      </w:r>
      <w:r w:rsidR="00CA342C" w:rsidRPr="00C63F17">
        <w:rPr>
          <w:rFonts w:asciiTheme="minorHAnsi" w:hAnsiTheme="minorHAnsi" w:cstheme="minorHAnsi"/>
        </w:rPr>
        <w:t xml:space="preserve"> </w:t>
      </w:r>
    </w:p>
    <w:p w:rsidR="00DD021F" w:rsidRPr="00C63F17" w:rsidRDefault="00DD021F" w:rsidP="007F5CAB">
      <w:pPr>
        <w:jc w:val="both"/>
        <w:rPr>
          <w:rFonts w:asciiTheme="minorHAnsi" w:hAnsiTheme="minorHAnsi" w:cstheme="minorHAnsi"/>
        </w:rPr>
      </w:pPr>
    </w:p>
    <w:p w:rsidR="007F5CAB" w:rsidRPr="00C63F17" w:rsidRDefault="007F5CAB" w:rsidP="007F5CAB">
      <w:pPr>
        <w:jc w:val="both"/>
        <w:rPr>
          <w:rFonts w:asciiTheme="minorHAnsi" w:hAnsiTheme="minorHAnsi" w:cstheme="minorHAnsi"/>
        </w:rPr>
      </w:pPr>
      <w:r w:rsidRPr="00C63F17">
        <w:rPr>
          <w:rFonts w:asciiTheme="minorHAnsi" w:hAnsiTheme="minorHAnsi" w:cstheme="minorHAnsi"/>
        </w:rPr>
        <w:t xml:space="preserve">Το ΑΠΘ ενθαρρύνει την </w:t>
      </w:r>
      <w:r w:rsidRPr="00C63F17">
        <w:rPr>
          <w:rFonts w:asciiTheme="minorHAnsi" w:hAnsiTheme="minorHAnsi" w:cstheme="minorHAnsi"/>
          <w:u w:val="single"/>
        </w:rPr>
        <w:t>επαγγελματική και επιστημονική ανάπτυξη</w:t>
      </w:r>
      <w:r w:rsidRPr="00C63F17">
        <w:rPr>
          <w:rFonts w:asciiTheme="minorHAnsi" w:hAnsiTheme="minorHAnsi" w:cstheme="minorHAnsi"/>
        </w:rPr>
        <w:t xml:space="preserve"> του διδακτικού του προσωπικού,  με την έγκριση χορήγησης διαφόρου τύπου αδειών</w:t>
      </w:r>
      <w:r w:rsidR="009D604E" w:rsidRPr="00C63F17">
        <w:rPr>
          <w:rFonts w:asciiTheme="minorHAnsi" w:hAnsiTheme="minorHAnsi" w:cstheme="minorHAnsi"/>
        </w:rPr>
        <w:t xml:space="preserve"> σύμφωνα με την ισχύουσα νομοθεσία</w:t>
      </w:r>
      <w:r w:rsidR="003F5210" w:rsidRPr="00C63F17">
        <w:rPr>
          <w:rFonts w:asciiTheme="minorHAnsi" w:hAnsiTheme="minorHAnsi" w:cstheme="minorHAnsi"/>
        </w:rPr>
        <w:t>,</w:t>
      </w:r>
      <w:r w:rsidRPr="00C63F17">
        <w:rPr>
          <w:rFonts w:asciiTheme="minorHAnsi" w:hAnsiTheme="minorHAnsi" w:cstheme="minorHAnsi"/>
        </w:rPr>
        <w:t xml:space="preserve"> (αφορά όλες τις βαθμίδες του διδακτικού προσωπικού) για:</w:t>
      </w:r>
    </w:p>
    <w:p w:rsidR="007F5CAB" w:rsidRPr="00C63F17" w:rsidRDefault="007F5CAB" w:rsidP="007F5CAB">
      <w:pPr>
        <w:pStyle w:val="1"/>
        <w:numPr>
          <w:ilvl w:val="0"/>
          <w:numId w:val="1"/>
        </w:numPr>
        <w:tabs>
          <w:tab w:val="num" w:pos="-1980"/>
        </w:tabs>
        <w:spacing w:after="0" w:line="240" w:lineRule="auto"/>
        <w:ind w:left="360"/>
        <w:contextualSpacing/>
        <w:jc w:val="both"/>
        <w:rPr>
          <w:rFonts w:asciiTheme="minorHAnsi" w:hAnsiTheme="minorHAnsi" w:cstheme="minorHAnsi"/>
          <w:sz w:val="24"/>
          <w:szCs w:val="24"/>
        </w:rPr>
      </w:pPr>
      <w:r w:rsidRPr="00C63F17">
        <w:rPr>
          <w:rFonts w:asciiTheme="minorHAnsi" w:hAnsiTheme="minorHAnsi" w:cstheme="minorHAnsi"/>
          <w:sz w:val="24"/>
          <w:szCs w:val="24"/>
        </w:rPr>
        <w:t xml:space="preserve">Επιστημονικούς λόγους για το εσωτερικό ή το εξωτερικό (άρθρο </w:t>
      </w:r>
      <w:r w:rsidR="0066777B" w:rsidRPr="00C63F17">
        <w:rPr>
          <w:rFonts w:asciiTheme="minorHAnsi" w:hAnsiTheme="minorHAnsi" w:cstheme="minorHAnsi"/>
          <w:sz w:val="24"/>
          <w:szCs w:val="24"/>
        </w:rPr>
        <w:t>157</w:t>
      </w:r>
      <w:r w:rsidRPr="00C63F17">
        <w:rPr>
          <w:rFonts w:asciiTheme="minorHAnsi" w:hAnsiTheme="minorHAnsi" w:cstheme="minorHAnsi"/>
          <w:sz w:val="24"/>
          <w:szCs w:val="24"/>
        </w:rPr>
        <w:t xml:space="preserve"> του ν. </w:t>
      </w:r>
      <w:r w:rsidR="0066777B" w:rsidRPr="00C63F17">
        <w:rPr>
          <w:rFonts w:asciiTheme="minorHAnsi" w:hAnsiTheme="minorHAnsi" w:cstheme="minorHAnsi"/>
          <w:sz w:val="24"/>
          <w:szCs w:val="24"/>
        </w:rPr>
        <w:t>4957/2022</w:t>
      </w:r>
      <w:r w:rsidRPr="00C63F17">
        <w:rPr>
          <w:rFonts w:asciiTheme="minorHAnsi" w:hAnsiTheme="minorHAnsi" w:cstheme="minorHAnsi"/>
          <w:sz w:val="24"/>
          <w:szCs w:val="24"/>
        </w:rPr>
        <w:t>) (ένα έτος για κάθε έξι έτη</w:t>
      </w:r>
      <w:r w:rsidR="00636D3E" w:rsidRPr="00C63F17">
        <w:rPr>
          <w:rFonts w:asciiTheme="minorHAnsi" w:hAnsiTheme="minorHAnsi" w:cstheme="minorHAnsi"/>
          <w:sz w:val="24"/>
          <w:szCs w:val="24"/>
        </w:rPr>
        <w:t xml:space="preserve"> συνεχούς</w:t>
      </w:r>
      <w:r w:rsidRPr="00C63F17">
        <w:rPr>
          <w:rFonts w:asciiTheme="minorHAnsi" w:hAnsiTheme="minorHAnsi" w:cstheme="minorHAnsi"/>
          <w:sz w:val="24"/>
          <w:szCs w:val="24"/>
        </w:rPr>
        <w:t xml:space="preserve"> υπηρεσίας ή έξι μήνες για κάθε τρία έτη</w:t>
      </w:r>
      <w:r w:rsidR="00636D3E" w:rsidRPr="00C63F17">
        <w:rPr>
          <w:rFonts w:asciiTheme="minorHAnsi" w:hAnsiTheme="minorHAnsi" w:cstheme="minorHAnsi"/>
          <w:sz w:val="24"/>
          <w:szCs w:val="24"/>
        </w:rPr>
        <w:t xml:space="preserve"> συνεχούς</w:t>
      </w:r>
      <w:r w:rsidRPr="00C63F17">
        <w:rPr>
          <w:rFonts w:asciiTheme="minorHAnsi" w:hAnsiTheme="minorHAnsi" w:cstheme="minorHAnsi"/>
          <w:sz w:val="24"/>
          <w:szCs w:val="24"/>
        </w:rPr>
        <w:t xml:space="preserve"> υπηρεσίας). Η άδεια χορηγείται με απλές αποδοχές και στην περίπτωση που αφορά εξωτερικό οι αποδοχές προσαυξάνονται κατά 80%</w:t>
      </w:r>
      <w:r w:rsidR="00521CFA" w:rsidRPr="00C63F17">
        <w:rPr>
          <w:rFonts w:asciiTheme="minorHAnsi" w:hAnsiTheme="minorHAnsi" w:cstheme="minorHAnsi"/>
          <w:sz w:val="24"/>
          <w:szCs w:val="24"/>
        </w:rPr>
        <w:t xml:space="preserve"> </w:t>
      </w:r>
      <w:r w:rsidR="002E6AA0" w:rsidRPr="00C63F17">
        <w:rPr>
          <w:rFonts w:asciiTheme="minorHAnsi" w:hAnsiTheme="minorHAnsi" w:cstheme="minorHAnsi"/>
          <w:sz w:val="24"/>
          <w:szCs w:val="24"/>
        </w:rPr>
        <w:t>(</w:t>
      </w:r>
      <w:r w:rsidR="00D23934" w:rsidRPr="00C63F17">
        <w:rPr>
          <w:rFonts w:asciiTheme="minorHAnsi" w:hAnsiTheme="minorHAnsi" w:cstheme="minorHAnsi"/>
          <w:sz w:val="24"/>
          <w:szCs w:val="24"/>
        </w:rPr>
        <w:t xml:space="preserve">μόνο </w:t>
      </w:r>
      <w:r w:rsidR="007C1BA7" w:rsidRPr="00C63F17">
        <w:rPr>
          <w:rFonts w:asciiTheme="minorHAnsi" w:hAnsiTheme="minorHAnsi" w:cstheme="minorHAnsi"/>
          <w:sz w:val="24"/>
          <w:szCs w:val="24"/>
        </w:rPr>
        <w:t>εφόσον</w:t>
      </w:r>
      <w:r w:rsidR="00521CFA" w:rsidRPr="00C63F17">
        <w:rPr>
          <w:rFonts w:asciiTheme="minorHAnsi" w:hAnsiTheme="minorHAnsi" w:cstheme="minorHAnsi"/>
          <w:sz w:val="24"/>
          <w:szCs w:val="24"/>
        </w:rPr>
        <w:t xml:space="preserve"> η συνεργασία </w:t>
      </w:r>
      <w:r w:rsidR="00C04829" w:rsidRPr="00C63F17">
        <w:rPr>
          <w:rFonts w:asciiTheme="minorHAnsi" w:hAnsiTheme="minorHAnsi" w:cstheme="minorHAnsi"/>
          <w:sz w:val="24"/>
          <w:szCs w:val="24"/>
        </w:rPr>
        <w:t>στο εξωτερικό</w:t>
      </w:r>
      <w:r w:rsidR="00521CFA" w:rsidRPr="00C63F17">
        <w:rPr>
          <w:rFonts w:asciiTheme="minorHAnsi" w:hAnsiTheme="minorHAnsi" w:cstheme="minorHAnsi"/>
          <w:sz w:val="24"/>
          <w:szCs w:val="24"/>
        </w:rPr>
        <w:t xml:space="preserve"> δεν περιλαμβάνει αμοιβή</w:t>
      </w:r>
      <w:r w:rsidR="002E6AA0" w:rsidRPr="00C63F17">
        <w:rPr>
          <w:rFonts w:asciiTheme="minorHAnsi" w:hAnsiTheme="minorHAnsi" w:cstheme="minorHAnsi"/>
          <w:sz w:val="24"/>
          <w:szCs w:val="24"/>
        </w:rPr>
        <w:t>)</w:t>
      </w:r>
      <w:r w:rsidR="007C1BA7" w:rsidRPr="00C63F17">
        <w:rPr>
          <w:rFonts w:asciiTheme="minorHAnsi" w:hAnsiTheme="minorHAnsi" w:cstheme="minorHAnsi"/>
          <w:sz w:val="24"/>
          <w:szCs w:val="24"/>
        </w:rPr>
        <w:t>. Η άδεια χορηγείται ύστερα από συμπλήρωση τριών ετών</w:t>
      </w:r>
      <w:r w:rsidR="0065341F" w:rsidRPr="00C63F17">
        <w:rPr>
          <w:rFonts w:asciiTheme="minorHAnsi" w:hAnsiTheme="minorHAnsi" w:cstheme="minorHAnsi"/>
          <w:sz w:val="24"/>
          <w:szCs w:val="24"/>
        </w:rPr>
        <w:t xml:space="preserve"> πραγματικής</w:t>
      </w:r>
      <w:r w:rsidR="007C1BA7" w:rsidRPr="00C63F17">
        <w:rPr>
          <w:rFonts w:asciiTheme="minorHAnsi" w:hAnsiTheme="minorHAnsi" w:cstheme="minorHAnsi"/>
          <w:sz w:val="24"/>
          <w:szCs w:val="24"/>
        </w:rPr>
        <w:t xml:space="preserve"> υπηρεσίας στο ΑΕΙ.  </w:t>
      </w:r>
    </w:p>
    <w:p w:rsidR="00D52063" w:rsidRPr="00C63F17" w:rsidRDefault="00D52063" w:rsidP="007F5CAB">
      <w:pPr>
        <w:pStyle w:val="1"/>
        <w:numPr>
          <w:ilvl w:val="0"/>
          <w:numId w:val="1"/>
        </w:numPr>
        <w:tabs>
          <w:tab w:val="num" w:pos="-1980"/>
        </w:tabs>
        <w:spacing w:after="0" w:line="240" w:lineRule="auto"/>
        <w:ind w:left="360"/>
        <w:contextualSpacing/>
        <w:jc w:val="both"/>
        <w:rPr>
          <w:rFonts w:asciiTheme="minorHAnsi" w:hAnsiTheme="minorHAnsi" w:cstheme="minorHAnsi"/>
          <w:sz w:val="24"/>
          <w:szCs w:val="24"/>
        </w:rPr>
      </w:pPr>
      <w:r w:rsidRPr="00C63F17">
        <w:rPr>
          <w:rFonts w:asciiTheme="minorHAnsi" w:hAnsiTheme="minorHAnsi" w:cstheme="minorHAnsi"/>
          <w:sz w:val="24"/>
          <w:szCs w:val="24"/>
        </w:rPr>
        <w:t xml:space="preserve">Σύμφωνα με εγκύκλιο του Υπουργείου Παιδείας και Θρησκευμάτων, η συμμετοχή του διδακτικού προσωπικού σε συνέδρια </w:t>
      </w:r>
      <w:proofErr w:type="spellStart"/>
      <w:r w:rsidRPr="00C63F17">
        <w:rPr>
          <w:rFonts w:asciiTheme="minorHAnsi" w:hAnsiTheme="minorHAnsi" w:cstheme="minorHAnsi"/>
          <w:sz w:val="24"/>
          <w:szCs w:val="24"/>
        </w:rPr>
        <w:t>κ.λ.π</w:t>
      </w:r>
      <w:proofErr w:type="spellEnd"/>
      <w:r w:rsidRPr="00C63F17">
        <w:rPr>
          <w:rFonts w:asciiTheme="minorHAnsi" w:hAnsiTheme="minorHAnsi" w:cstheme="minorHAnsi"/>
          <w:sz w:val="24"/>
          <w:szCs w:val="24"/>
        </w:rPr>
        <w:t>. αποτελεί δικαίωμα του και δεν απαιτεί χορήγηση άδειας (θα σας στείλω την εγκύκλιο να δείτε πώς το αναλύει</w:t>
      </w:r>
    </w:p>
    <w:p w:rsidR="007F5CAB" w:rsidRPr="00C63F17" w:rsidRDefault="007F5CAB" w:rsidP="007F5CAB">
      <w:pPr>
        <w:pStyle w:val="1"/>
        <w:numPr>
          <w:ilvl w:val="0"/>
          <w:numId w:val="1"/>
        </w:numPr>
        <w:tabs>
          <w:tab w:val="num" w:pos="-1980"/>
        </w:tabs>
        <w:spacing w:after="0" w:line="240" w:lineRule="auto"/>
        <w:ind w:left="360"/>
        <w:contextualSpacing/>
        <w:jc w:val="both"/>
        <w:rPr>
          <w:rFonts w:asciiTheme="minorHAnsi" w:hAnsiTheme="minorHAnsi" w:cstheme="minorHAnsi"/>
          <w:sz w:val="24"/>
          <w:szCs w:val="24"/>
        </w:rPr>
      </w:pPr>
      <w:r w:rsidRPr="00C63F17">
        <w:rPr>
          <w:rFonts w:asciiTheme="minorHAnsi" w:hAnsiTheme="minorHAnsi" w:cstheme="minorHAnsi"/>
          <w:sz w:val="24"/>
          <w:szCs w:val="24"/>
        </w:rPr>
        <w:t xml:space="preserve">Απασχόληση σε Έδρες Ελληνικών Σπουδών σε ΑΕΙ </w:t>
      </w:r>
      <w:r w:rsidR="00C31321" w:rsidRPr="00C63F17">
        <w:rPr>
          <w:rFonts w:asciiTheme="minorHAnsi" w:hAnsiTheme="minorHAnsi" w:cstheme="minorHAnsi"/>
          <w:sz w:val="24"/>
          <w:szCs w:val="24"/>
        </w:rPr>
        <w:t>της αλλοδαπής</w:t>
      </w:r>
      <w:r w:rsidRPr="00C63F17">
        <w:rPr>
          <w:rFonts w:asciiTheme="minorHAnsi" w:hAnsiTheme="minorHAnsi" w:cstheme="minorHAnsi"/>
          <w:sz w:val="24"/>
          <w:szCs w:val="24"/>
        </w:rPr>
        <w:t>, μέχρι τρία</w:t>
      </w:r>
      <w:r w:rsidR="00EC6059" w:rsidRPr="00C63F17">
        <w:rPr>
          <w:rFonts w:asciiTheme="minorHAnsi" w:hAnsiTheme="minorHAnsi" w:cstheme="minorHAnsi"/>
          <w:sz w:val="24"/>
          <w:szCs w:val="24"/>
        </w:rPr>
        <w:t xml:space="preserve"> ακαδημαϊκά</w:t>
      </w:r>
      <w:r w:rsidRPr="00C63F17">
        <w:rPr>
          <w:rFonts w:asciiTheme="minorHAnsi" w:hAnsiTheme="minorHAnsi" w:cstheme="minorHAnsi"/>
          <w:sz w:val="24"/>
          <w:szCs w:val="24"/>
        </w:rPr>
        <w:t xml:space="preserve"> έτη (άρθρο </w:t>
      </w:r>
      <w:r w:rsidR="00EC6059" w:rsidRPr="00C63F17">
        <w:rPr>
          <w:rFonts w:asciiTheme="minorHAnsi" w:hAnsiTheme="minorHAnsi" w:cstheme="minorHAnsi"/>
          <w:sz w:val="24"/>
          <w:szCs w:val="24"/>
        </w:rPr>
        <w:t>158</w:t>
      </w:r>
      <w:r w:rsidRPr="00C63F17">
        <w:rPr>
          <w:rFonts w:asciiTheme="minorHAnsi" w:hAnsiTheme="minorHAnsi" w:cstheme="minorHAnsi"/>
          <w:sz w:val="24"/>
          <w:szCs w:val="24"/>
        </w:rPr>
        <w:t xml:space="preserve"> παρ. 5 του ν. </w:t>
      </w:r>
      <w:r w:rsidR="00C31321" w:rsidRPr="00C63F17">
        <w:rPr>
          <w:rFonts w:asciiTheme="minorHAnsi" w:hAnsiTheme="minorHAnsi" w:cstheme="minorHAnsi"/>
          <w:sz w:val="24"/>
          <w:szCs w:val="24"/>
        </w:rPr>
        <w:t>4957/2022</w:t>
      </w:r>
      <w:r w:rsidRPr="00C63F17">
        <w:rPr>
          <w:rFonts w:asciiTheme="minorHAnsi" w:hAnsiTheme="minorHAnsi" w:cstheme="minorHAnsi"/>
          <w:sz w:val="24"/>
          <w:szCs w:val="24"/>
        </w:rPr>
        <w:t>)</w:t>
      </w:r>
    </w:p>
    <w:p w:rsidR="007F5CAB" w:rsidRPr="00C63F17" w:rsidRDefault="007F5CAB" w:rsidP="007F5CAB">
      <w:pPr>
        <w:pStyle w:val="1"/>
        <w:numPr>
          <w:ilvl w:val="0"/>
          <w:numId w:val="1"/>
        </w:numPr>
        <w:tabs>
          <w:tab w:val="num" w:pos="-1980"/>
        </w:tabs>
        <w:spacing w:after="0" w:line="240" w:lineRule="auto"/>
        <w:ind w:left="360"/>
        <w:contextualSpacing/>
        <w:jc w:val="both"/>
        <w:rPr>
          <w:rFonts w:asciiTheme="minorHAnsi" w:hAnsiTheme="minorHAnsi" w:cstheme="minorHAnsi"/>
          <w:sz w:val="24"/>
          <w:szCs w:val="24"/>
        </w:rPr>
      </w:pPr>
      <w:r w:rsidRPr="00C63F17">
        <w:rPr>
          <w:rFonts w:asciiTheme="minorHAnsi" w:hAnsiTheme="minorHAnsi" w:cstheme="minorHAnsi"/>
          <w:sz w:val="24"/>
          <w:szCs w:val="24"/>
        </w:rPr>
        <w:t>Παράλληλη απασχόληση σε ΑΕΙ της αλλοδαπής, μέχρι</w:t>
      </w:r>
      <w:r w:rsidR="003864A0" w:rsidRPr="00C63F17">
        <w:rPr>
          <w:rFonts w:asciiTheme="minorHAnsi" w:hAnsiTheme="minorHAnsi" w:cstheme="minorHAnsi"/>
          <w:sz w:val="24"/>
          <w:szCs w:val="24"/>
        </w:rPr>
        <w:t xml:space="preserve"> ένα (1) ακαδημαϊκό εξάμηνο ανά ακαδημαϊκό έτος</w:t>
      </w:r>
      <w:r w:rsidRPr="00C63F17">
        <w:rPr>
          <w:rFonts w:asciiTheme="minorHAnsi" w:hAnsiTheme="minorHAnsi" w:cstheme="minorHAnsi"/>
          <w:sz w:val="24"/>
          <w:szCs w:val="24"/>
        </w:rPr>
        <w:t xml:space="preserve"> (άρθρο </w:t>
      </w:r>
      <w:r w:rsidR="006704EF" w:rsidRPr="00C63F17">
        <w:rPr>
          <w:rFonts w:asciiTheme="minorHAnsi" w:hAnsiTheme="minorHAnsi" w:cstheme="minorHAnsi"/>
          <w:sz w:val="24"/>
          <w:szCs w:val="24"/>
        </w:rPr>
        <w:t>158</w:t>
      </w:r>
      <w:r w:rsidRPr="00C63F17">
        <w:rPr>
          <w:rFonts w:asciiTheme="minorHAnsi" w:hAnsiTheme="minorHAnsi" w:cstheme="minorHAnsi"/>
          <w:sz w:val="24"/>
          <w:szCs w:val="24"/>
        </w:rPr>
        <w:t xml:space="preserve"> παρ. 3 του ν. 4</w:t>
      </w:r>
      <w:r w:rsidR="006704EF" w:rsidRPr="00C63F17">
        <w:rPr>
          <w:rFonts w:asciiTheme="minorHAnsi" w:hAnsiTheme="minorHAnsi" w:cstheme="minorHAnsi"/>
          <w:sz w:val="24"/>
          <w:szCs w:val="24"/>
        </w:rPr>
        <w:t>957/2022</w:t>
      </w:r>
      <w:r w:rsidRPr="00C63F17">
        <w:rPr>
          <w:rFonts w:asciiTheme="minorHAnsi" w:hAnsiTheme="minorHAnsi" w:cstheme="minorHAnsi"/>
          <w:sz w:val="24"/>
          <w:szCs w:val="24"/>
        </w:rPr>
        <w:t>).</w:t>
      </w:r>
    </w:p>
    <w:p w:rsidR="007F5CAB" w:rsidRPr="00C63F17" w:rsidRDefault="007F5CAB" w:rsidP="007F5CAB">
      <w:pPr>
        <w:tabs>
          <w:tab w:val="left" w:pos="0"/>
        </w:tabs>
        <w:jc w:val="both"/>
        <w:rPr>
          <w:rFonts w:asciiTheme="minorHAnsi" w:hAnsiTheme="minorHAnsi" w:cstheme="minorHAnsi"/>
        </w:rPr>
      </w:pPr>
      <w:r w:rsidRPr="00C63F17">
        <w:rPr>
          <w:rFonts w:asciiTheme="minorHAnsi" w:hAnsiTheme="minorHAnsi" w:cstheme="minorHAnsi"/>
        </w:rPr>
        <w:t>Για το Λοιπό Εκπαιδευτικό Προσωπικό ΕΕΠ και ΕΔΙΠ χορηγούνται άδειες εκπαιδευτικές, για συνέδρια, σεμινάρια  κλπ σύμφωνα με τις διατάξεις του άρθρου 6 του ΠΔ. 147/2009.</w:t>
      </w:r>
      <w:r w:rsidR="00910632" w:rsidRPr="00C63F17">
        <w:rPr>
          <w:rFonts w:asciiTheme="minorHAnsi" w:hAnsiTheme="minorHAnsi" w:cstheme="minorHAnsi"/>
        </w:rPr>
        <w:t xml:space="preserve"> </w:t>
      </w:r>
    </w:p>
    <w:p w:rsidR="007F5CAB" w:rsidRPr="00C63F17" w:rsidRDefault="007F5CAB" w:rsidP="007F5CAB">
      <w:pPr>
        <w:jc w:val="both"/>
        <w:rPr>
          <w:rFonts w:asciiTheme="minorHAnsi" w:hAnsiTheme="minorHAnsi" w:cstheme="minorHAnsi"/>
        </w:rPr>
      </w:pPr>
      <w:r w:rsidRPr="00C63F17">
        <w:rPr>
          <w:rFonts w:asciiTheme="minorHAnsi" w:hAnsiTheme="minorHAnsi" w:cstheme="minorHAnsi"/>
        </w:rPr>
        <w:t xml:space="preserve">Επίσης, η συμμετοχή του ΑΠΘ </w:t>
      </w:r>
      <w:r w:rsidR="00596820" w:rsidRPr="00C63F17">
        <w:rPr>
          <w:rFonts w:asciiTheme="minorHAnsi" w:hAnsiTheme="minorHAnsi" w:cstheme="minorHAnsi"/>
        </w:rPr>
        <w:t>στο Ευρωπαϊκό Πανεπιστήμιο (</w:t>
      </w:r>
      <w:r w:rsidR="00596820" w:rsidRPr="00C63F17">
        <w:rPr>
          <w:rFonts w:asciiTheme="minorHAnsi" w:hAnsiTheme="minorHAnsi" w:cstheme="minorHAnsi"/>
          <w:lang w:val="en-US"/>
        </w:rPr>
        <w:t>EPICUR</w:t>
      </w:r>
      <w:r w:rsidR="00596820" w:rsidRPr="00C63F17">
        <w:rPr>
          <w:rFonts w:asciiTheme="minorHAnsi" w:hAnsiTheme="minorHAnsi" w:cstheme="minorHAnsi"/>
        </w:rPr>
        <w:t xml:space="preserve">) και </w:t>
      </w:r>
      <w:r w:rsidRPr="00C63F17">
        <w:rPr>
          <w:rFonts w:asciiTheme="minorHAnsi" w:hAnsiTheme="minorHAnsi" w:cstheme="minorHAnsi"/>
        </w:rPr>
        <w:t xml:space="preserve">σε προγράμματα όπως το ERASMUS </w:t>
      </w:r>
      <w:proofErr w:type="spellStart"/>
      <w:r w:rsidRPr="00C63F17">
        <w:rPr>
          <w:rFonts w:asciiTheme="minorHAnsi" w:hAnsiTheme="minorHAnsi" w:cstheme="minorHAnsi"/>
        </w:rPr>
        <w:t>Staff</w:t>
      </w:r>
      <w:proofErr w:type="spellEnd"/>
      <w:r w:rsidRPr="00C63F17">
        <w:rPr>
          <w:rFonts w:asciiTheme="minorHAnsi" w:hAnsiTheme="minorHAnsi" w:cstheme="minorHAnsi"/>
        </w:rPr>
        <w:t xml:space="preserve"> </w:t>
      </w:r>
      <w:proofErr w:type="spellStart"/>
      <w:r w:rsidRPr="00C63F17">
        <w:rPr>
          <w:rFonts w:asciiTheme="minorHAnsi" w:hAnsiTheme="minorHAnsi" w:cstheme="minorHAnsi"/>
        </w:rPr>
        <w:t>Training</w:t>
      </w:r>
      <w:proofErr w:type="spellEnd"/>
      <w:r w:rsidRPr="00C63F17">
        <w:rPr>
          <w:rFonts w:asciiTheme="minorHAnsi" w:hAnsiTheme="minorHAnsi" w:cstheme="minorHAnsi"/>
        </w:rPr>
        <w:t xml:space="preserve">, ERASMUS+, το ERASMUS INTERNATIONAL, το ERASMUS MUNDUS, το Δίκτυο της Ουτρέχτης, το European </w:t>
      </w:r>
      <w:proofErr w:type="spellStart"/>
      <w:r w:rsidRPr="00C63F17">
        <w:rPr>
          <w:rFonts w:asciiTheme="minorHAnsi" w:hAnsiTheme="minorHAnsi" w:cstheme="minorHAnsi"/>
        </w:rPr>
        <w:t>University</w:t>
      </w:r>
      <w:proofErr w:type="spellEnd"/>
      <w:r w:rsidRPr="00C63F17">
        <w:rPr>
          <w:rFonts w:asciiTheme="minorHAnsi" w:hAnsiTheme="minorHAnsi" w:cstheme="minorHAnsi"/>
        </w:rPr>
        <w:t xml:space="preserve"> </w:t>
      </w:r>
      <w:proofErr w:type="spellStart"/>
      <w:r w:rsidRPr="00C63F17">
        <w:rPr>
          <w:rFonts w:asciiTheme="minorHAnsi" w:hAnsiTheme="minorHAnsi" w:cstheme="minorHAnsi"/>
        </w:rPr>
        <w:t>Foundation</w:t>
      </w:r>
      <w:proofErr w:type="spellEnd"/>
      <w:r w:rsidRPr="00C63F17">
        <w:rPr>
          <w:rFonts w:asciiTheme="minorHAnsi" w:hAnsiTheme="minorHAnsi" w:cstheme="minorHAnsi"/>
        </w:rPr>
        <w:t xml:space="preserve"> (CAMPUS EUROPAE) και σε ακόμη περίπου 60 Διεθνείς Οργανισμούς, Δίκτυα και Ενώσεις, δίνει τη δυνατότητα στο διδακτικό προσωπικό να μεταβεί στην αλλοδαπή για έρευνα, διδασκαλία καθώς και για παρακολούθηση επιμορφώσεων, με αποτέλεσμα να επιτυγχάνεται και η ενημέρωσή του για τις εξελίξεις σε διεθνές επίπεδο.</w:t>
      </w:r>
    </w:p>
    <w:p w:rsidR="00CC3D30" w:rsidRPr="00C63F17" w:rsidRDefault="00CC3D30">
      <w:pPr>
        <w:rPr>
          <w:rFonts w:asciiTheme="minorHAnsi" w:hAnsiTheme="minorHAnsi" w:cstheme="minorHAnsi"/>
          <w:b/>
        </w:rPr>
      </w:pPr>
    </w:p>
    <w:p w:rsidR="00596820" w:rsidRPr="00C63F17" w:rsidRDefault="00596820">
      <w:pPr>
        <w:rPr>
          <w:rFonts w:asciiTheme="minorHAnsi" w:hAnsiTheme="minorHAnsi" w:cstheme="minorHAnsi"/>
          <w:b/>
        </w:rPr>
      </w:pPr>
      <w:r w:rsidRPr="00C63F17">
        <w:rPr>
          <w:rFonts w:asciiTheme="minorHAnsi" w:hAnsiTheme="minorHAnsi" w:cstheme="minorHAnsi"/>
          <w:b/>
        </w:rPr>
        <w:t>Πηγή</w:t>
      </w:r>
      <w:r w:rsidRPr="00173A83">
        <w:rPr>
          <w:rFonts w:asciiTheme="minorHAnsi" w:hAnsiTheme="minorHAnsi" w:cstheme="minorHAnsi"/>
          <w:b/>
        </w:rPr>
        <w:t xml:space="preserve">: </w:t>
      </w:r>
      <w:r w:rsidRPr="00C63F17">
        <w:rPr>
          <w:rFonts w:asciiTheme="minorHAnsi" w:hAnsiTheme="minorHAnsi" w:cstheme="minorHAnsi"/>
          <w:b/>
        </w:rPr>
        <w:t>ΕΛΚΕ ΑΠΘ</w:t>
      </w:r>
    </w:p>
    <w:p w:rsidR="00596820" w:rsidRPr="00C63F17" w:rsidRDefault="00596820" w:rsidP="00596820">
      <w:pPr>
        <w:spacing w:line="276" w:lineRule="auto"/>
        <w:jc w:val="both"/>
        <w:rPr>
          <w:rFonts w:asciiTheme="minorHAnsi" w:hAnsiTheme="minorHAnsi" w:cstheme="minorHAnsi"/>
          <w:lang w:eastAsia="en-US"/>
        </w:rPr>
      </w:pPr>
      <w:r w:rsidRPr="00C63F17">
        <w:rPr>
          <w:rFonts w:asciiTheme="minorHAnsi" w:hAnsiTheme="minorHAnsi" w:cstheme="minorHAnsi"/>
          <w:lang w:eastAsia="en-US"/>
        </w:rPr>
        <w:t xml:space="preserve">Το ΑΠΘ έχει θέσει ως προτεραιότητα την </w:t>
      </w:r>
      <w:r w:rsidRPr="00C63F17">
        <w:rPr>
          <w:rFonts w:asciiTheme="minorHAnsi" w:hAnsiTheme="minorHAnsi" w:cstheme="minorHAnsi"/>
          <w:u w:val="single"/>
          <w:lang w:eastAsia="en-US"/>
        </w:rPr>
        <w:t>ενθάρρυνση της ενίσχυσης της σύνδεσης της εκπαίδευσης και έρευνας,</w:t>
      </w:r>
      <w:r w:rsidRPr="00C63F17">
        <w:rPr>
          <w:rFonts w:asciiTheme="minorHAnsi" w:hAnsiTheme="minorHAnsi" w:cstheme="minorHAnsi"/>
          <w:lang w:eastAsia="en-US"/>
        </w:rPr>
        <w:t xml:space="preserve"> και στο πλαίσιο των δυνατοτήτων του υλοποιεί, μέσω του ΕΛΚΕ, συγκεκριμένες δράσεις, όπως:</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 xml:space="preserve">Χορήγηση υποτροφιών για την προώθηση της έρευνας (ετήσια βάση) σε νέους ερευνητές διδακτορικούς/μεταδιδακτορικούς </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Χρηματοδότηση για προμήθεια ερευνητικού εξοπλισμού</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Χρηματοδότηση πιστοποίησης και διαπίστευσης εργαστηρίων παροχής υπηρεσιών</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Οικονομική ενίσχυση ερευνητικών ομάδων (ΔΕΠ και φοιτητών) και για συμμετοχή σε εθνικούς και διεθνείς διαγωνισμούς</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Οικονομική ενίσχυση νέων ερευνητών</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Παροχή χρηματοδότησης από την Επιτροπή Ερευνών για τη διοργάνωση επιστημονικών ημερίδων και συνεδρίων (ετήσια βάση)</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lastRenderedPageBreak/>
        <w:t>Διοργάνωση σεμιναρίων για τη συγγραφή ερευνητικών προτάσεων</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 xml:space="preserve">Λειτουργία κόμβου κινητικότητας ερευνητών, Δίκτυο </w:t>
      </w:r>
      <w:proofErr w:type="spellStart"/>
      <w:r w:rsidRPr="00C63F17">
        <w:rPr>
          <w:rFonts w:asciiTheme="minorHAnsi" w:hAnsiTheme="minorHAnsi" w:cstheme="minorHAnsi"/>
          <w:sz w:val="24"/>
          <w:szCs w:val="24"/>
        </w:rPr>
        <w:t>Euraxess</w:t>
      </w:r>
      <w:proofErr w:type="spellEnd"/>
      <w:r w:rsidRPr="00C63F17">
        <w:rPr>
          <w:rFonts w:asciiTheme="minorHAnsi" w:hAnsiTheme="minorHAnsi" w:cstheme="minorHAnsi"/>
          <w:sz w:val="24"/>
          <w:szCs w:val="24"/>
        </w:rPr>
        <w:t>, (σε συνεχή βάση)</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Διοργάνωση εκδηλώσεων δημοσιοποίησης και προβολής ιδιαίτερων ερευνητικών επιτευγμάτων (σε συνεχή βάση)</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Παροχή υπηρεσιών υποστήριξης και προστασίας της πνευματικής και βιομηχανικής ιδιοκτησίας των ερευνητών, μέσω των Γραφείων Νομικής Υποστήριξης και Μεταφοράς Τεχνολογίας της Επιτροπής Ερευνών (σε συνεχή βάση)</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Παροχή χρηματοδοτήσεων από την Επιτροπή Ερευνών για την προστασία της βιομηχανικής ιδιοκτησίας των ερευνητών, διπλώματα ευρεσιτεχνίας, υποδειγμάτων χρησιμότητας και βιομηχανικών σχεδίων (σε συνεχή βάση)</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Παροχή υπηρεσιών υποστήριξης για τη δημιουργία επιχειρήσεων τεχνολογικής βάσης, μέσω του Γραφείου Μεταφοράς Τεχνολογίας της Επιτροπής Ερευνών (σε συνεχή βάση)</w:t>
      </w:r>
    </w:p>
    <w:p w:rsidR="00596820" w:rsidRPr="00C63F17" w:rsidRDefault="00596820" w:rsidP="00596820">
      <w:pPr>
        <w:pStyle w:val="a3"/>
        <w:numPr>
          <w:ilvl w:val="0"/>
          <w:numId w:val="3"/>
        </w:numPr>
        <w:spacing w:after="0"/>
        <w:ind w:left="993" w:hanging="284"/>
        <w:jc w:val="both"/>
        <w:rPr>
          <w:rFonts w:asciiTheme="minorHAnsi" w:hAnsiTheme="minorHAnsi" w:cstheme="minorHAnsi"/>
          <w:sz w:val="24"/>
          <w:szCs w:val="24"/>
        </w:rPr>
      </w:pPr>
      <w:r w:rsidRPr="00C63F17">
        <w:rPr>
          <w:rFonts w:asciiTheme="minorHAnsi" w:hAnsiTheme="minorHAnsi" w:cstheme="minorHAnsi"/>
          <w:sz w:val="24"/>
          <w:szCs w:val="24"/>
        </w:rPr>
        <w:t>Παροχή υπηρεσιών υποστήριξης για τη σύναψη συμβάσεων μεταφοράς τεχνολογίας/αξιοποίησης των ερευνητικών αποτελεσμάτων μέσω των Γραφείων Νομικής Υποστήριξης και Μεταφοράς Τεχνολογίας της Επιτροπής Ερευνών (σε συνεχή βάση)</w:t>
      </w:r>
    </w:p>
    <w:p w:rsidR="00596820" w:rsidRPr="00C63F17" w:rsidRDefault="00596820">
      <w:pPr>
        <w:rPr>
          <w:rFonts w:asciiTheme="minorHAnsi" w:hAnsiTheme="minorHAnsi" w:cstheme="minorHAnsi"/>
          <w:b/>
        </w:rPr>
      </w:pPr>
    </w:p>
    <w:sectPr w:rsidR="00596820" w:rsidRPr="00C63F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4C8"/>
    <w:multiLevelType w:val="hybridMultilevel"/>
    <w:tmpl w:val="078E1274"/>
    <w:lvl w:ilvl="0" w:tplc="323A44F6">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3535"/>
    <w:multiLevelType w:val="hybridMultilevel"/>
    <w:tmpl w:val="CB10CC96"/>
    <w:lvl w:ilvl="0" w:tplc="0409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9E4020A"/>
    <w:multiLevelType w:val="hybridMultilevel"/>
    <w:tmpl w:val="F3BC365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AB"/>
    <w:rsid w:val="00173A83"/>
    <w:rsid w:val="001D7650"/>
    <w:rsid w:val="002E6AA0"/>
    <w:rsid w:val="003864A0"/>
    <w:rsid w:val="003B757E"/>
    <w:rsid w:val="003C5B36"/>
    <w:rsid w:val="003F5210"/>
    <w:rsid w:val="00462226"/>
    <w:rsid w:val="0047514A"/>
    <w:rsid w:val="00483F5F"/>
    <w:rsid w:val="00521CFA"/>
    <w:rsid w:val="00553430"/>
    <w:rsid w:val="00596820"/>
    <w:rsid w:val="005B1096"/>
    <w:rsid w:val="005C458E"/>
    <w:rsid w:val="005C7E62"/>
    <w:rsid w:val="00624CC8"/>
    <w:rsid w:val="00636D3E"/>
    <w:rsid w:val="0065341F"/>
    <w:rsid w:val="0066777B"/>
    <w:rsid w:val="006704EF"/>
    <w:rsid w:val="00733F90"/>
    <w:rsid w:val="00757A54"/>
    <w:rsid w:val="007C1BA7"/>
    <w:rsid w:val="007F5CAB"/>
    <w:rsid w:val="007F7A16"/>
    <w:rsid w:val="00870BEF"/>
    <w:rsid w:val="008B7B16"/>
    <w:rsid w:val="00910632"/>
    <w:rsid w:val="009337CD"/>
    <w:rsid w:val="00944DDF"/>
    <w:rsid w:val="00973382"/>
    <w:rsid w:val="009D604E"/>
    <w:rsid w:val="00B27F4E"/>
    <w:rsid w:val="00B37084"/>
    <w:rsid w:val="00C04829"/>
    <w:rsid w:val="00C31321"/>
    <w:rsid w:val="00C63F17"/>
    <w:rsid w:val="00C808BF"/>
    <w:rsid w:val="00CA342C"/>
    <w:rsid w:val="00CC3D30"/>
    <w:rsid w:val="00D23934"/>
    <w:rsid w:val="00D37B21"/>
    <w:rsid w:val="00D52063"/>
    <w:rsid w:val="00D9119C"/>
    <w:rsid w:val="00DD021F"/>
    <w:rsid w:val="00DF424A"/>
    <w:rsid w:val="00E0611A"/>
    <w:rsid w:val="00E15502"/>
    <w:rsid w:val="00EA2668"/>
    <w:rsid w:val="00EC6059"/>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994C0-BAC1-4DB5-BD6E-F56C1C2B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CAB"/>
    <w:pPr>
      <w:spacing w:after="0" w:line="240" w:lineRule="auto"/>
    </w:pPr>
    <w:rPr>
      <w:rFonts w:ascii="Times New Roman" w:eastAsia="Yu Mincho"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7F5CAB"/>
    <w:pPr>
      <w:spacing w:after="160" w:line="256" w:lineRule="auto"/>
      <w:ind w:left="720"/>
    </w:pPr>
    <w:rPr>
      <w:rFonts w:ascii="Calibri" w:eastAsia="SimSun" w:hAnsi="Calibri" w:cs="Arial"/>
      <w:sz w:val="22"/>
      <w:szCs w:val="22"/>
    </w:rPr>
  </w:style>
  <w:style w:type="paragraph" w:styleId="a3">
    <w:name w:val="List Paragraph"/>
    <w:basedOn w:val="a"/>
    <w:uiPriority w:val="34"/>
    <w:qFormat/>
    <w:rsid w:val="00596820"/>
    <w:pPr>
      <w:spacing w:after="200" w:line="276" w:lineRule="auto"/>
      <w:ind w:left="720"/>
      <w:contextualSpacing/>
    </w:pPr>
    <w:rPr>
      <w:rFonts w:ascii="Calibri" w:eastAsia="Calibri" w:hAnsi="Calibri"/>
      <w:sz w:val="22"/>
      <w:szCs w:val="22"/>
      <w:lang w:eastAsia="en-US"/>
    </w:rPr>
  </w:style>
  <w:style w:type="character" w:styleId="-">
    <w:name w:val="Hyperlink"/>
    <w:rsid w:val="00C63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5784</Characters>
  <Application>Microsoft Office Word</Application>
  <DocSecurity>4</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Χρήστης των Windows</cp:lastModifiedBy>
  <cp:revision>2</cp:revision>
  <cp:lastPrinted>2022-11-24T12:43:00Z</cp:lastPrinted>
  <dcterms:created xsi:type="dcterms:W3CDTF">2022-12-08T05:16:00Z</dcterms:created>
  <dcterms:modified xsi:type="dcterms:W3CDTF">2022-12-08T05:16:00Z</dcterms:modified>
</cp:coreProperties>
</file>